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B987C">
      <w:pPr>
        <w:spacing w:before="480" w:after="480" w:line="288" w:lineRule="auto"/>
        <w:ind w:left="0"/>
      </w:pPr>
      <w:r>
        <w:rPr>
          <w:rFonts w:ascii="Arial" w:hAnsi="Arial" w:eastAsia="等线" w:cs="Arial"/>
          <w:b/>
          <w:sz w:val="52"/>
        </w:rPr>
        <w:t>2025-2026年度电力设备及光缆供货与运维服务项目中标结果公告</w:t>
      </w:r>
    </w:p>
    <w:p w14:paraId="78AEB5DD">
      <w:pPr>
        <w:spacing w:before="120" w:after="120" w:line="288" w:lineRule="auto"/>
        <w:ind w:left="0"/>
        <w:jc w:val="left"/>
      </w:pPr>
      <w:r>
        <w:rPr>
          <w:rFonts w:ascii="Arial" w:hAnsi="Arial" w:eastAsia="等线" w:cs="Arial"/>
          <w:sz w:val="22"/>
        </w:rPr>
        <w:t>根据中国南方电网有限责任公司采购管理相关规定、《中华人民共和国招标投标法》及集团采购管理办法，2025-2026 年度电力设备及光缆供货与运维服务项目已完成报名、资格预审、开标、评标、定标全流程工作。评标委员会严格按照招标文件评审标准完成综合打分与推荐，经招标人审批确认，现将本次中标结果予以正式公告。</w:t>
      </w:r>
    </w:p>
    <w:p w14:paraId="6F3D9F78">
      <w:pPr>
        <w:spacing w:before="320" w:after="120" w:line="288" w:lineRule="auto"/>
        <w:ind w:left="0"/>
        <w:jc w:val="left"/>
        <w:outlineLvl w:val="1"/>
      </w:pPr>
      <w:bookmarkStart w:id="0" w:name="heading_0"/>
      <w:r>
        <w:rPr>
          <w:rFonts w:ascii="Arial" w:hAnsi="Arial" w:eastAsia="等线" w:cs="Arial"/>
          <w:b/>
          <w:sz w:val="32"/>
        </w:rPr>
        <w:t>一、项目基本信息</w:t>
      </w:r>
      <w:bookmarkEnd w:id="0"/>
    </w:p>
    <w:p w14:paraId="6BAB7E64">
      <w:pPr>
        <w:numPr>
          <w:ilvl w:val="0"/>
          <w:numId w:val="1"/>
        </w:numPr>
        <w:spacing w:before="120" w:after="120" w:line="288" w:lineRule="auto"/>
        <w:ind w:left="0"/>
        <w:jc w:val="left"/>
      </w:pPr>
      <w:r>
        <w:rPr>
          <w:rFonts w:ascii="Arial" w:hAnsi="Arial" w:eastAsia="等线" w:cs="Arial"/>
          <w:sz w:val="22"/>
        </w:rPr>
        <w:t>项目编号：CSG-DL-SBGL-20250608</w:t>
      </w:r>
    </w:p>
    <w:p w14:paraId="20788D40">
      <w:pPr>
        <w:numPr>
          <w:ilvl w:val="0"/>
          <w:numId w:val="2"/>
        </w:numPr>
        <w:spacing w:before="120" w:after="120" w:line="288" w:lineRule="auto"/>
        <w:ind w:left="0"/>
        <w:jc w:val="left"/>
      </w:pPr>
      <w:r>
        <w:rPr>
          <w:rFonts w:ascii="Arial" w:hAnsi="Arial" w:eastAsia="等线" w:cs="Arial"/>
          <w:sz w:val="22"/>
        </w:rPr>
        <w:t>项目名称：2025-2026 年度电力设备及光缆供货与运维服务项目</w:t>
      </w:r>
    </w:p>
    <w:p w14:paraId="182F0F19">
      <w:pPr>
        <w:numPr>
          <w:ilvl w:val="0"/>
          <w:numId w:val="3"/>
        </w:numPr>
        <w:spacing w:before="120" w:after="120" w:line="288" w:lineRule="auto"/>
        <w:ind w:left="0"/>
        <w:jc w:val="left"/>
      </w:pPr>
      <w:r>
        <w:rPr>
          <w:rFonts w:ascii="Arial" w:hAnsi="Arial" w:eastAsia="等线" w:cs="Arial"/>
          <w:sz w:val="22"/>
        </w:rPr>
        <w:t>采购单位：中国南方电网有限责任公司</w:t>
      </w:r>
    </w:p>
    <w:p w14:paraId="28ACC79B">
      <w:pPr>
        <w:numPr>
          <w:ilvl w:val="0"/>
          <w:numId w:val="4"/>
        </w:numPr>
        <w:spacing w:before="120" w:after="120" w:line="288" w:lineRule="auto"/>
        <w:ind w:left="0"/>
        <w:jc w:val="left"/>
      </w:pPr>
      <w:r>
        <w:rPr>
          <w:rFonts w:ascii="Arial" w:hAnsi="Arial" w:eastAsia="等线" w:cs="Arial"/>
          <w:sz w:val="22"/>
        </w:rPr>
        <w:t>服务周期：1 年（2025 年 7 月 1 日 —2026 年 6 月 30 日）</w:t>
      </w:r>
      <w:bookmarkStart w:id="9" w:name="_GoBack"/>
      <w:bookmarkEnd w:id="9"/>
    </w:p>
    <w:p w14:paraId="658796B1">
      <w:pPr>
        <w:numPr>
          <w:ilvl w:val="0"/>
          <w:numId w:val="5"/>
        </w:numPr>
        <w:spacing w:before="120" w:after="120" w:line="288" w:lineRule="auto"/>
        <w:ind w:left="0"/>
        <w:jc w:val="left"/>
      </w:pPr>
      <w:r>
        <w:rPr>
          <w:rFonts w:ascii="Arial" w:hAnsi="Arial" w:eastAsia="等线" w:cs="Arial"/>
          <w:sz w:val="22"/>
        </w:rPr>
        <w:t>采购方式：公开招标</w:t>
      </w:r>
    </w:p>
    <w:p w14:paraId="2A490D00">
      <w:pPr>
        <w:numPr>
          <w:ilvl w:val="0"/>
          <w:numId w:val="6"/>
        </w:numPr>
        <w:spacing w:before="120" w:after="120" w:line="288" w:lineRule="auto"/>
        <w:ind w:left="0"/>
        <w:jc w:val="left"/>
      </w:pPr>
      <w:r>
        <w:rPr>
          <w:rFonts w:ascii="Arial" w:hAnsi="Arial" w:eastAsia="等线" w:cs="Arial"/>
          <w:sz w:val="22"/>
        </w:rPr>
        <w:t>公告发布时间：2025 年 6 月 30 日</w:t>
      </w:r>
    </w:p>
    <w:p w14:paraId="08100260">
      <w:pPr>
        <w:numPr>
          <w:ilvl w:val="0"/>
          <w:numId w:val="7"/>
        </w:numPr>
        <w:spacing w:before="120" w:after="120" w:line="288" w:lineRule="auto"/>
        <w:ind w:left="0"/>
        <w:jc w:val="left"/>
      </w:pPr>
      <w:r>
        <w:rPr>
          <w:rFonts w:ascii="Arial" w:hAnsi="Arial" w:eastAsia="等线" w:cs="Arial"/>
          <w:sz w:val="22"/>
        </w:rPr>
        <w:t>投标截止时间：2025 年 6 月 10 日 09:00</w:t>
      </w:r>
    </w:p>
    <w:p w14:paraId="5C6E613C">
      <w:pPr>
        <w:numPr>
          <w:ilvl w:val="0"/>
          <w:numId w:val="8"/>
        </w:numPr>
        <w:spacing w:before="120" w:after="120" w:line="288" w:lineRule="auto"/>
        <w:ind w:left="0"/>
        <w:jc w:val="left"/>
      </w:pPr>
      <w:r>
        <w:rPr>
          <w:rFonts w:ascii="Arial" w:hAnsi="Arial" w:eastAsia="等线" w:cs="Arial"/>
          <w:sz w:val="22"/>
        </w:rPr>
        <w:t>开标时间：2025 年 6 月 10 日 09:00</w:t>
      </w:r>
    </w:p>
    <w:p w14:paraId="2A54E90E">
      <w:pPr>
        <w:numPr>
          <w:ilvl w:val="0"/>
          <w:numId w:val="9"/>
        </w:numPr>
        <w:spacing w:before="120" w:after="120" w:line="288" w:lineRule="auto"/>
        <w:ind w:left="0"/>
        <w:jc w:val="left"/>
      </w:pPr>
      <w:r>
        <w:rPr>
          <w:rFonts w:ascii="Arial" w:hAnsi="Arial" w:eastAsia="等线" w:cs="Arial"/>
          <w:sz w:val="22"/>
        </w:rPr>
        <w:t>评标时间：2025 年 6 月 10 日 —2025 年 6 月 12 日</w:t>
      </w:r>
    </w:p>
    <w:p w14:paraId="48706415">
      <w:pPr>
        <w:numPr>
          <w:ilvl w:val="0"/>
          <w:numId w:val="10"/>
        </w:numPr>
        <w:spacing w:before="120" w:after="120" w:line="288" w:lineRule="auto"/>
        <w:ind w:left="0"/>
        <w:jc w:val="left"/>
      </w:pPr>
      <w:r>
        <w:rPr>
          <w:rFonts w:ascii="Arial" w:hAnsi="Arial" w:eastAsia="等线" w:cs="Arial"/>
          <w:sz w:val="22"/>
        </w:rPr>
        <w:t>评标方式：综合评估法（商务、技术、价格三维评审）</w:t>
      </w:r>
    </w:p>
    <w:p w14:paraId="68D17937">
      <w:pPr>
        <w:spacing w:before="320" w:after="120" w:line="288" w:lineRule="auto"/>
        <w:ind w:left="0"/>
        <w:jc w:val="left"/>
        <w:outlineLvl w:val="1"/>
      </w:pPr>
      <w:bookmarkStart w:id="1" w:name="heading_1"/>
      <w:r>
        <w:rPr>
          <w:rFonts w:ascii="Arial" w:hAnsi="Arial" w:eastAsia="等线" w:cs="Arial"/>
          <w:b/>
          <w:sz w:val="32"/>
        </w:rPr>
        <w:t>二、中标人核心信息</w:t>
      </w:r>
      <w:bookmarkEnd w:id="1"/>
    </w:p>
    <w:p w14:paraId="6B6AEACE">
      <w:pPr>
        <w:numPr>
          <w:ilvl w:val="0"/>
          <w:numId w:val="11"/>
        </w:numPr>
        <w:spacing w:before="120" w:after="120" w:line="288" w:lineRule="auto"/>
        <w:ind w:left="0"/>
        <w:jc w:val="left"/>
      </w:pPr>
      <w:r>
        <w:rPr>
          <w:rFonts w:ascii="Arial" w:hAnsi="Arial" w:eastAsia="等线" w:cs="Arial"/>
          <w:sz w:val="22"/>
        </w:rPr>
        <w:t>中标单位名称：北京钧涵科技有限公司</w:t>
      </w:r>
    </w:p>
    <w:p w14:paraId="3092D04C">
      <w:pPr>
        <w:numPr>
          <w:ilvl w:val="0"/>
          <w:numId w:val="12"/>
        </w:numPr>
        <w:spacing w:before="120" w:after="120" w:line="288" w:lineRule="auto"/>
        <w:ind w:left="0"/>
        <w:jc w:val="left"/>
      </w:pPr>
      <w:r>
        <w:rPr>
          <w:rFonts w:ascii="Arial" w:hAnsi="Arial" w:eastAsia="等线" w:cs="Arial"/>
          <w:sz w:val="22"/>
        </w:rPr>
        <w:t>统一社会信用代码：91110113MAEM1CET7W</w:t>
      </w:r>
    </w:p>
    <w:p w14:paraId="37F63E09">
      <w:pPr>
        <w:numPr>
          <w:ilvl w:val="0"/>
          <w:numId w:val="13"/>
        </w:numPr>
        <w:spacing w:before="120" w:after="120" w:line="288" w:lineRule="auto"/>
        <w:ind w:left="0"/>
        <w:jc w:val="left"/>
      </w:pPr>
      <w:r>
        <w:rPr>
          <w:rFonts w:ascii="Arial" w:hAnsi="Arial" w:eastAsia="等线" w:cs="Arial"/>
          <w:sz w:val="22"/>
        </w:rPr>
        <w:t>中标金额：最终结算金额以实际供货量及服务完成量为准</w:t>
      </w:r>
    </w:p>
    <w:p w14:paraId="18AEF533">
      <w:pPr>
        <w:numPr>
          <w:ilvl w:val="0"/>
          <w:numId w:val="14"/>
        </w:numPr>
        <w:spacing w:before="120" w:after="120" w:line="288" w:lineRule="auto"/>
        <w:ind w:left="0"/>
        <w:jc w:val="left"/>
      </w:pPr>
      <w:r>
        <w:rPr>
          <w:rFonts w:ascii="Arial" w:hAnsi="Arial" w:eastAsia="等线" w:cs="Arial"/>
          <w:sz w:val="22"/>
        </w:rPr>
        <w:t>单位地址：</w:t>
      </w:r>
      <w:r>
        <w:rPr>
          <w:rFonts w:hint="eastAsia" w:ascii="Arial" w:hAnsi="Arial" w:eastAsia="等线" w:cs="Arial"/>
          <w:sz w:val="22"/>
        </w:rPr>
        <w:t>北京市顺义区泰和宜园4号楼1至3层</w:t>
      </w:r>
    </w:p>
    <w:p w14:paraId="4012911A">
      <w:pPr>
        <w:spacing w:before="320" w:after="120" w:line="288" w:lineRule="auto"/>
        <w:ind w:left="0"/>
        <w:jc w:val="left"/>
        <w:outlineLvl w:val="1"/>
      </w:pPr>
      <w:bookmarkStart w:id="2" w:name="heading_2"/>
      <w:r>
        <w:rPr>
          <w:rFonts w:ascii="Arial" w:hAnsi="Arial" w:eastAsia="等线" w:cs="Arial"/>
          <w:b/>
          <w:sz w:val="32"/>
        </w:rPr>
        <w:t>三、主要标的详细信息</w:t>
      </w:r>
      <w:bookmarkEnd w:id="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706"/>
        <w:gridCol w:w="1455"/>
        <w:gridCol w:w="2070"/>
        <w:gridCol w:w="4049"/>
      </w:tblGrid>
      <w:tr w14:paraId="5C5C8D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06" w:type="dxa"/>
            <w:tcMar>
              <w:top w:w="60" w:type="dxa"/>
              <w:left w:w="120" w:type="dxa"/>
              <w:bottom w:w="30" w:type="dxa"/>
              <w:right w:w="120" w:type="dxa"/>
            </w:tcMar>
          </w:tcPr>
          <w:p w14:paraId="70DE0FAA">
            <w:pPr>
              <w:spacing w:before="120" w:after="120" w:line="288" w:lineRule="auto"/>
              <w:ind w:left="0"/>
              <w:jc w:val="left"/>
            </w:pPr>
            <w:r>
              <w:rPr>
                <w:rFonts w:ascii="Arial" w:hAnsi="Arial" w:eastAsia="等线" w:cs="Arial"/>
                <w:sz w:val="22"/>
              </w:rPr>
              <w:t>序号</w:t>
            </w:r>
          </w:p>
        </w:tc>
        <w:tc>
          <w:tcPr>
            <w:tcW w:w="1455" w:type="dxa"/>
            <w:tcMar>
              <w:top w:w="60" w:type="dxa"/>
              <w:left w:w="120" w:type="dxa"/>
              <w:bottom w:w="30" w:type="dxa"/>
              <w:right w:w="120" w:type="dxa"/>
            </w:tcMar>
          </w:tcPr>
          <w:p w14:paraId="60481F84">
            <w:pPr>
              <w:spacing w:before="120" w:after="120" w:line="288" w:lineRule="auto"/>
              <w:ind w:left="0"/>
              <w:jc w:val="left"/>
            </w:pPr>
            <w:r>
              <w:rPr>
                <w:rFonts w:ascii="Arial" w:hAnsi="Arial" w:eastAsia="等线" w:cs="Arial"/>
                <w:sz w:val="22"/>
              </w:rPr>
              <w:t>中标人名称</w:t>
            </w:r>
          </w:p>
        </w:tc>
        <w:tc>
          <w:tcPr>
            <w:tcW w:w="2070" w:type="dxa"/>
            <w:tcMar>
              <w:top w:w="60" w:type="dxa"/>
              <w:left w:w="120" w:type="dxa"/>
              <w:bottom w:w="30" w:type="dxa"/>
              <w:right w:w="120" w:type="dxa"/>
            </w:tcMar>
          </w:tcPr>
          <w:p w14:paraId="63C9F543">
            <w:pPr>
              <w:spacing w:before="120" w:after="120" w:line="288" w:lineRule="auto"/>
              <w:ind w:left="0"/>
              <w:jc w:val="left"/>
            </w:pPr>
            <w:r>
              <w:rPr>
                <w:rFonts w:ascii="Arial" w:hAnsi="Arial" w:eastAsia="等线" w:cs="Arial"/>
                <w:sz w:val="22"/>
              </w:rPr>
              <w:t>项目名称</w:t>
            </w:r>
          </w:p>
        </w:tc>
        <w:tc>
          <w:tcPr>
            <w:tcW w:w="4049" w:type="dxa"/>
            <w:tcMar>
              <w:top w:w="60" w:type="dxa"/>
              <w:left w:w="120" w:type="dxa"/>
              <w:bottom w:w="30" w:type="dxa"/>
              <w:right w:w="120" w:type="dxa"/>
            </w:tcMar>
          </w:tcPr>
          <w:p w14:paraId="651DEDEC">
            <w:pPr>
              <w:spacing w:before="120" w:after="120" w:line="288" w:lineRule="auto"/>
              <w:ind w:left="0"/>
              <w:jc w:val="left"/>
            </w:pPr>
            <w:r>
              <w:rPr>
                <w:rFonts w:ascii="Arial" w:hAnsi="Arial" w:eastAsia="等线" w:cs="Arial"/>
                <w:sz w:val="22"/>
              </w:rPr>
              <w:t>服务范围与采购内容</w:t>
            </w:r>
          </w:p>
        </w:tc>
      </w:tr>
      <w:tr w14:paraId="7E64183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06" w:type="dxa"/>
            <w:tcMar>
              <w:top w:w="60" w:type="dxa"/>
              <w:left w:w="120" w:type="dxa"/>
              <w:bottom w:w="30" w:type="dxa"/>
              <w:right w:w="120" w:type="dxa"/>
            </w:tcMar>
          </w:tcPr>
          <w:p w14:paraId="156E231A">
            <w:pPr>
              <w:spacing w:before="120" w:after="120" w:line="288" w:lineRule="auto"/>
              <w:ind w:left="0"/>
              <w:jc w:val="both"/>
            </w:pPr>
            <w:r>
              <w:rPr>
                <w:rFonts w:ascii="Arial" w:hAnsi="Arial" w:eastAsia="等线" w:cs="Arial"/>
                <w:sz w:val="22"/>
              </w:rPr>
              <w:t>1</w:t>
            </w:r>
          </w:p>
        </w:tc>
        <w:tc>
          <w:tcPr>
            <w:tcW w:w="1455" w:type="dxa"/>
            <w:tcMar>
              <w:top w:w="60" w:type="dxa"/>
              <w:left w:w="120" w:type="dxa"/>
              <w:bottom w:w="30" w:type="dxa"/>
              <w:right w:w="120" w:type="dxa"/>
            </w:tcMar>
          </w:tcPr>
          <w:p w14:paraId="07AE22D5">
            <w:pPr>
              <w:spacing w:before="120" w:after="120" w:line="288" w:lineRule="auto"/>
              <w:ind w:left="0"/>
              <w:jc w:val="both"/>
            </w:pPr>
            <w:r>
              <w:rPr>
                <w:rFonts w:ascii="Arial" w:hAnsi="Arial" w:eastAsia="等线" w:cs="Arial"/>
                <w:sz w:val="22"/>
              </w:rPr>
              <w:t>北京钧涵科技有限公司</w:t>
            </w:r>
          </w:p>
        </w:tc>
        <w:tc>
          <w:tcPr>
            <w:tcW w:w="2070" w:type="dxa"/>
            <w:tcMar>
              <w:top w:w="60" w:type="dxa"/>
              <w:left w:w="120" w:type="dxa"/>
              <w:bottom w:w="30" w:type="dxa"/>
              <w:right w:w="120" w:type="dxa"/>
            </w:tcMar>
          </w:tcPr>
          <w:p w14:paraId="36587907">
            <w:pPr>
              <w:spacing w:before="120" w:after="120" w:line="288" w:lineRule="auto"/>
              <w:ind w:left="0"/>
              <w:jc w:val="both"/>
            </w:pPr>
            <w:r>
              <w:rPr>
                <w:rFonts w:ascii="Arial" w:hAnsi="Arial" w:eastAsia="等线" w:cs="Arial"/>
                <w:sz w:val="22"/>
              </w:rPr>
              <w:t>2025-2026 年度电力设备及光缆供货与运维服务项目</w:t>
            </w:r>
          </w:p>
        </w:tc>
        <w:tc>
          <w:tcPr>
            <w:tcW w:w="4049" w:type="dxa"/>
            <w:tcMar>
              <w:top w:w="60" w:type="dxa"/>
              <w:left w:w="120" w:type="dxa"/>
              <w:bottom w:w="30" w:type="dxa"/>
              <w:right w:w="120" w:type="dxa"/>
            </w:tcMar>
          </w:tcPr>
          <w:p w14:paraId="378066ED">
            <w:pPr>
              <w:spacing w:before="120" w:after="120" w:line="288" w:lineRule="auto"/>
              <w:ind w:left="0"/>
              <w:jc w:val="both"/>
            </w:pPr>
            <w:r>
              <w:rPr>
                <w:rFonts w:ascii="Arial" w:hAnsi="Arial" w:eastAsia="等线" w:cs="Arial"/>
                <w:sz w:val="22"/>
              </w:rPr>
              <w:t>1. 电力通信光缆（OPGW、ADSS、普通光缆）、光缆接头盒、终端盒、光分路器等配套设备的生产制造、供货、运输、装卸、就位；</w:t>
            </w:r>
            <w:r>
              <w:rPr>
                <w:rFonts w:ascii="Arial" w:hAnsi="Arial" w:eastAsia="等线" w:cs="Arial"/>
                <w:sz w:val="22"/>
              </w:rPr>
              <w:br w:type="textWrapping"/>
            </w:r>
            <w:r>
              <w:rPr>
                <w:rFonts w:ascii="Arial" w:hAnsi="Arial" w:eastAsia="等线" w:cs="Arial"/>
                <w:sz w:val="22"/>
              </w:rPr>
              <w:t>2. 高低压电力设备、配电装置、通信机柜、电源系统的供货及配套服务；</w:t>
            </w:r>
            <w:r>
              <w:rPr>
                <w:rFonts w:ascii="Arial" w:hAnsi="Arial" w:eastAsia="等线" w:cs="Arial"/>
                <w:sz w:val="22"/>
              </w:rPr>
              <w:br w:type="textWrapping"/>
            </w:r>
            <w:r>
              <w:rPr>
                <w:rFonts w:ascii="Arial" w:hAnsi="Arial" w:eastAsia="等线" w:cs="Arial"/>
                <w:sz w:val="22"/>
              </w:rPr>
              <w:t>3. 光缆线路敷设、熔接、测试、验收、移交；电力设备安装、接线、调试、试验；</w:t>
            </w:r>
            <w:r>
              <w:rPr>
                <w:rFonts w:ascii="Arial" w:hAnsi="Arial" w:eastAsia="等线" w:cs="Arial"/>
                <w:sz w:val="22"/>
              </w:rPr>
              <w:br w:type="textWrapping"/>
            </w:r>
            <w:r>
              <w:rPr>
                <w:rFonts w:ascii="Arial" w:hAnsi="Arial" w:eastAsia="等线" w:cs="Arial"/>
                <w:sz w:val="22"/>
              </w:rPr>
              <w:t>4. 光缆线路日常巡检、定期检测、故障定位、断点修复、隐患排查治理；</w:t>
            </w:r>
            <w:r>
              <w:rPr>
                <w:rFonts w:ascii="Arial" w:hAnsi="Arial" w:eastAsia="等线" w:cs="Arial"/>
                <w:sz w:val="22"/>
              </w:rPr>
              <w:br w:type="textWrapping"/>
            </w:r>
            <w:r>
              <w:rPr>
                <w:rFonts w:ascii="Arial" w:hAnsi="Arial" w:eastAsia="等线" w:cs="Arial"/>
                <w:sz w:val="22"/>
              </w:rPr>
              <w:t>5. 电力设备及通信系统日常维护、保养、绝缘检测、性能测试、易损件更换；</w:t>
            </w:r>
            <w:r>
              <w:rPr>
                <w:rFonts w:ascii="Arial" w:hAnsi="Arial" w:eastAsia="等线" w:cs="Arial"/>
                <w:sz w:val="22"/>
              </w:rPr>
              <w:br w:type="textWrapping"/>
            </w:r>
            <w:r>
              <w:rPr>
                <w:rFonts w:ascii="Arial" w:hAnsi="Arial" w:eastAsia="等线" w:cs="Arial"/>
                <w:sz w:val="22"/>
              </w:rPr>
              <w:t>6. 设备及光缆运行数据记录、台账建立、运维报告编制、季度 / 年度总结；</w:t>
            </w:r>
            <w:r>
              <w:rPr>
                <w:rFonts w:ascii="Arial" w:hAnsi="Arial" w:eastAsia="等线" w:cs="Arial"/>
                <w:sz w:val="22"/>
              </w:rPr>
              <w:br w:type="textWrapping"/>
            </w:r>
            <w:r>
              <w:rPr>
                <w:rFonts w:ascii="Arial" w:hAnsi="Arial" w:eastAsia="等线" w:cs="Arial"/>
                <w:sz w:val="22"/>
              </w:rPr>
              <w:t>7. 技术培训、操作指导、技术咨询、系统优化方案制定；</w:t>
            </w:r>
            <w:r>
              <w:rPr>
                <w:rFonts w:ascii="Arial" w:hAnsi="Arial" w:eastAsia="等线" w:cs="Arial"/>
                <w:sz w:val="22"/>
              </w:rPr>
              <w:br w:type="textWrapping"/>
            </w:r>
            <w:r>
              <w:rPr>
                <w:rFonts w:ascii="Arial" w:hAnsi="Arial" w:eastAsia="等线" w:cs="Arial"/>
                <w:sz w:val="22"/>
              </w:rPr>
              <w:t>8. 配合甲方完成设备验收、年检、安全检查、合规性检查及迎检工作；</w:t>
            </w:r>
            <w:r>
              <w:rPr>
                <w:rFonts w:ascii="Arial" w:hAnsi="Arial" w:eastAsia="等线" w:cs="Arial"/>
                <w:sz w:val="22"/>
              </w:rPr>
              <w:br w:type="textWrapping"/>
            </w:r>
            <w:r>
              <w:rPr>
                <w:rFonts w:ascii="Arial" w:hAnsi="Arial" w:eastAsia="等线" w:cs="Arial"/>
                <w:sz w:val="22"/>
              </w:rPr>
              <w:t>9. 备品备件保障、7×24 小时应急响应及技术支持服务。</w:t>
            </w:r>
          </w:p>
        </w:tc>
      </w:tr>
    </w:tbl>
    <w:p w14:paraId="0FFFE2E5">
      <w:pPr>
        <w:spacing w:before="320" w:after="120" w:line="288" w:lineRule="auto"/>
        <w:ind w:left="0"/>
        <w:jc w:val="left"/>
        <w:outlineLvl w:val="1"/>
      </w:pPr>
      <w:bookmarkStart w:id="3" w:name="heading_3"/>
      <w:r>
        <w:rPr>
          <w:rFonts w:ascii="Arial" w:hAnsi="Arial" w:eastAsia="等线" w:cs="Arial"/>
          <w:b/>
          <w:sz w:val="32"/>
        </w:rPr>
        <w:t>四、评审情况简要说明</w:t>
      </w:r>
      <w:bookmarkEnd w:id="3"/>
    </w:p>
    <w:p w14:paraId="1D95491D">
      <w:pPr>
        <w:numPr>
          <w:ilvl w:val="0"/>
          <w:numId w:val="15"/>
        </w:numPr>
        <w:spacing w:before="120" w:after="120" w:line="288" w:lineRule="auto"/>
        <w:ind w:left="0"/>
        <w:jc w:val="left"/>
      </w:pPr>
      <w:r>
        <w:rPr>
          <w:rFonts w:ascii="Arial" w:hAnsi="Arial" w:eastAsia="等线" w:cs="Arial"/>
          <w:sz w:val="22"/>
        </w:rPr>
        <w:t>参与投标单位共 6 家，均通过资格性审查与符合性审查。</w:t>
      </w:r>
    </w:p>
    <w:p w14:paraId="54194347">
      <w:pPr>
        <w:numPr>
          <w:ilvl w:val="0"/>
          <w:numId w:val="16"/>
        </w:numPr>
        <w:spacing w:before="120" w:after="120" w:line="288" w:lineRule="auto"/>
        <w:ind w:left="0"/>
        <w:jc w:val="left"/>
      </w:pPr>
      <w:r>
        <w:rPr>
          <w:rFonts w:ascii="Arial" w:hAnsi="Arial" w:eastAsia="等线" w:cs="Arial"/>
          <w:sz w:val="22"/>
        </w:rPr>
        <w:t>评标委员会从企业资质、同类项目业绩、技术方案合理性、人员配置专业性、设备保障能力、服务承诺、价格水平、履约能力等维度进行综合评审。</w:t>
      </w:r>
    </w:p>
    <w:p w14:paraId="00894FBD">
      <w:pPr>
        <w:numPr>
          <w:ilvl w:val="0"/>
          <w:numId w:val="17"/>
        </w:numPr>
        <w:spacing w:before="120" w:after="120" w:line="288" w:lineRule="auto"/>
        <w:ind w:left="0"/>
        <w:jc w:val="left"/>
      </w:pPr>
      <w:r>
        <w:rPr>
          <w:rFonts w:ascii="Arial" w:hAnsi="Arial" w:eastAsia="等线" w:cs="Arial"/>
          <w:sz w:val="22"/>
        </w:rPr>
        <w:t>北京钧涵科技有限公司综合得分排名第一，推荐为第一中标候选人。</w:t>
      </w:r>
    </w:p>
    <w:p w14:paraId="7FEC0B9A">
      <w:pPr>
        <w:numPr>
          <w:ilvl w:val="0"/>
          <w:numId w:val="18"/>
        </w:numPr>
        <w:spacing w:before="120" w:after="120" w:line="288" w:lineRule="auto"/>
        <w:ind w:left="0"/>
        <w:jc w:val="left"/>
      </w:pPr>
      <w:r>
        <w:rPr>
          <w:rFonts w:ascii="Arial" w:hAnsi="Arial" w:eastAsia="等线" w:cs="Arial"/>
          <w:sz w:val="22"/>
        </w:rPr>
        <w:t>经招标人内部审批流程，确定该单位为本次项目最终中标人。</w:t>
      </w:r>
    </w:p>
    <w:p w14:paraId="6541295C">
      <w:pPr>
        <w:spacing w:before="320" w:after="120" w:line="288" w:lineRule="auto"/>
        <w:ind w:left="0"/>
        <w:jc w:val="left"/>
        <w:outlineLvl w:val="1"/>
      </w:pPr>
      <w:bookmarkStart w:id="4" w:name="heading_4"/>
      <w:r>
        <w:rPr>
          <w:rFonts w:ascii="Arial" w:hAnsi="Arial" w:eastAsia="等线" w:cs="Arial"/>
          <w:b/>
          <w:sz w:val="32"/>
        </w:rPr>
        <w:t>五、公告期限</w:t>
      </w:r>
      <w:bookmarkEnd w:id="4"/>
    </w:p>
    <w:p w14:paraId="139EBEC5">
      <w:pPr>
        <w:spacing w:before="120" w:after="120" w:line="288" w:lineRule="auto"/>
        <w:ind w:left="0"/>
        <w:jc w:val="left"/>
      </w:pPr>
      <w:r>
        <w:rPr>
          <w:rFonts w:ascii="Arial" w:hAnsi="Arial" w:eastAsia="等线" w:cs="Arial"/>
          <w:sz w:val="22"/>
        </w:rPr>
        <w:t>自本公告发布之日起 1 个工作日。</w:t>
      </w:r>
    </w:p>
    <w:p w14:paraId="689A9C39">
      <w:pPr>
        <w:spacing w:before="320" w:after="120" w:line="288" w:lineRule="auto"/>
        <w:ind w:left="0"/>
        <w:jc w:val="left"/>
        <w:outlineLvl w:val="1"/>
      </w:pPr>
      <w:bookmarkStart w:id="5" w:name="heading_5"/>
      <w:r>
        <w:rPr>
          <w:rFonts w:ascii="Arial" w:hAnsi="Arial" w:eastAsia="等线" w:cs="Arial"/>
          <w:b/>
          <w:sz w:val="32"/>
        </w:rPr>
        <w:t>六、其他补充事宜</w:t>
      </w:r>
      <w:bookmarkEnd w:id="5"/>
    </w:p>
    <w:p w14:paraId="7BFB760A">
      <w:pPr>
        <w:numPr>
          <w:ilvl w:val="0"/>
          <w:numId w:val="19"/>
        </w:numPr>
        <w:spacing w:before="120" w:after="120" w:line="288" w:lineRule="auto"/>
        <w:ind w:left="0"/>
        <w:jc w:val="left"/>
      </w:pPr>
      <w:r>
        <w:rPr>
          <w:rFonts w:ascii="Arial" w:hAnsi="Arial" w:eastAsia="等线" w:cs="Arial"/>
          <w:b/>
          <w:sz w:val="22"/>
        </w:rPr>
        <w:t>中标通知书领取</w:t>
      </w:r>
      <w:r>
        <w:rPr>
          <w:rFonts w:ascii="Arial" w:hAnsi="Arial" w:eastAsia="等线" w:cs="Arial"/>
          <w:sz w:val="22"/>
        </w:rPr>
        <w:br w:type="textWrapping"/>
      </w:r>
      <w:r>
        <w:rPr>
          <w:rFonts w:ascii="Arial" w:hAnsi="Arial" w:eastAsia="等线" w:cs="Arial"/>
          <w:sz w:val="22"/>
        </w:rPr>
        <w:t>本公告发布之日起 1 个工作日内，中标单位授权代表需携带：法定代表人身份证明、法定代表人授权委托书、被授权人身份证原件及复印件、单位营业执照复印件（加盖公章），前往中国南方电网有限责任公司采购管理部指定地点领取中标通知书，逾期未领取视同已自动领取且无异议。</w:t>
      </w:r>
    </w:p>
    <w:p w14:paraId="3C5B4E1E">
      <w:pPr>
        <w:numPr>
          <w:ilvl w:val="0"/>
          <w:numId w:val="20"/>
        </w:numPr>
        <w:spacing w:before="120" w:after="120" w:line="288" w:lineRule="auto"/>
        <w:ind w:left="0"/>
        <w:jc w:val="left"/>
      </w:pPr>
      <w:r>
        <w:rPr>
          <w:rFonts w:ascii="Arial" w:hAnsi="Arial" w:eastAsia="等线" w:cs="Arial"/>
          <w:b/>
          <w:sz w:val="22"/>
        </w:rPr>
        <w:t>合同签订</w:t>
      </w:r>
      <w:r>
        <w:rPr>
          <w:rFonts w:ascii="Arial" w:hAnsi="Arial" w:eastAsia="等线" w:cs="Arial"/>
          <w:sz w:val="22"/>
        </w:rPr>
        <w:br w:type="textWrapping"/>
      </w:r>
      <w:r>
        <w:rPr>
          <w:rFonts w:ascii="Arial" w:hAnsi="Arial" w:eastAsia="等线" w:cs="Arial"/>
          <w:sz w:val="22"/>
        </w:rPr>
        <w:t>中标单位须在领取中标通知书后 15 个工作日内，与采购单位完成合同洽谈、条款确认、盖章签订工作。严格按照招标文件、投标文件、中标承诺及合同约定履行全部义务。</w:t>
      </w:r>
    </w:p>
    <w:p w14:paraId="14268FF0">
      <w:pPr>
        <w:numPr>
          <w:ilvl w:val="0"/>
          <w:numId w:val="21"/>
        </w:numPr>
        <w:spacing w:before="120" w:after="120" w:line="288" w:lineRule="auto"/>
        <w:ind w:left="0"/>
        <w:jc w:val="left"/>
      </w:pPr>
      <w:r>
        <w:rPr>
          <w:rFonts w:ascii="Arial" w:hAnsi="Arial" w:eastAsia="等线" w:cs="Arial"/>
          <w:b/>
          <w:sz w:val="22"/>
        </w:rPr>
        <w:t>履约要求</w:t>
      </w:r>
    </w:p>
    <w:p w14:paraId="6AE46376">
      <w:pPr>
        <w:numPr>
          <w:ilvl w:val="0"/>
          <w:numId w:val="22"/>
        </w:numPr>
        <w:spacing w:before="120" w:after="120" w:line="288" w:lineRule="auto"/>
        <w:ind w:left="0"/>
        <w:jc w:val="left"/>
      </w:pPr>
      <w:r>
        <w:rPr>
          <w:rFonts w:ascii="Arial" w:hAnsi="Arial" w:eastAsia="等线" w:cs="Arial"/>
          <w:sz w:val="22"/>
        </w:rPr>
        <w:t>配备固定项目负责人、通信工程师、电力工程师、持证电工及专业运维技工组成专项服务团队；</w:t>
      </w:r>
    </w:p>
    <w:p w14:paraId="12DB8D15">
      <w:pPr>
        <w:numPr>
          <w:ilvl w:val="0"/>
          <w:numId w:val="23"/>
        </w:numPr>
        <w:spacing w:before="120" w:after="120" w:line="288" w:lineRule="auto"/>
        <w:ind w:left="0"/>
        <w:jc w:val="left"/>
      </w:pPr>
      <w:r>
        <w:rPr>
          <w:rFonts w:ascii="Arial" w:hAnsi="Arial" w:eastAsia="等线" w:cs="Arial"/>
          <w:sz w:val="22"/>
        </w:rPr>
        <w:t>配备满足现场需求的光缆熔接设备、检测仪器、施工工具、车辆及应急备品备件；</w:t>
      </w:r>
    </w:p>
    <w:p w14:paraId="21EC33D8">
      <w:pPr>
        <w:numPr>
          <w:ilvl w:val="0"/>
          <w:numId w:val="24"/>
        </w:numPr>
        <w:spacing w:before="120" w:after="120" w:line="288" w:lineRule="auto"/>
        <w:ind w:left="0"/>
        <w:jc w:val="left"/>
      </w:pPr>
      <w:r>
        <w:rPr>
          <w:rFonts w:ascii="Arial" w:hAnsi="Arial" w:eastAsia="等线" w:cs="Arial"/>
          <w:sz w:val="22"/>
        </w:rPr>
        <w:t>严格遵守中国南方电网有限责任公司及项目现场安全生产、环保、消防、运维管理各项制度；</w:t>
      </w:r>
    </w:p>
    <w:p w14:paraId="664F7EDC">
      <w:pPr>
        <w:numPr>
          <w:ilvl w:val="0"/>
          <w:numId w:val="25"/>
        </w:numPr>
        <w:spacing w:before="120" w:after="120" w:line="288" w:lineRule="auto"/>
        <w:ind w:left="0"/>
        <w:jc w:val="left"/>
      </w:pPr>
      <w:r>
        <w:rPr>
          <w:rFonts w:ascii="Arial" w:hAnsi="Arial" w:eastAsia="等线" w:cs="Arial"/>
          <w:sz w:val="22"/>
        </w:rPr>
        <w:t>确保服务及时率、设备完好率、故障处理合格率达到招标文件要求标准；</w:t>
      </w:r>
    </w:p>
    <w:p w14:paraId="1C3B9B60">
      <w:pPr>
        <w:numPr>
          <w:ilvl w:val="0"/>
          <w:numId w:val="26"/>
        </w:numPr>
        <w:spacing w:before="120" w:after="120" w:line="288" w:lineRule="auto"/>
        <w:ind w:left="0"/>
        <w:jc w:val="left"/>
      </w:pPr>
      <w:r>
        <w:rPr>
          <w:rFonts w:ascii="Arial" w:hAnsi="Arial" w:eastAsia="等线" w:cs="Arial"/>
          <w:sz w:val="22"/>
        </w:rPr>
        <w:t>接受甲方日常监督、考核、检查与评价。</w:t>
      </w:r>
    </w:p>
    <w:p w14:paraId="0AD6463C">
      <w:pPr>
        <w:numPr>
          <w:ilvl w:val="0"/>
          <w:numId w:val="27"/>
        </w:numPr>
        <w:spacing w:before="120" w:after="120" w:line="288" w:lineRule="auto"/>
        <w:ind w:left="0"/>
        <w:jc w:val="left"/>
      </w:pPr>
      <w:r>
        <w:rPr>
          <w:rFonts w:ascii="Arial" w:hAnsi="Arial" w:eastAsia="等线" w:cs="Arial"/>
          <w:b/>
          <w:sz w:val="22"/>
        </w:rPr>
        <w:t>履约保证金</w:t>
      </w:r>
      <w:r>
        <w:rPr>
          <w:rFonts w:ascii="Arial" w:hAnsi="Arial" w:eastAsia="等线" w:cs="Arial"/>
          <w:sz w:val="22"/>
        </w:rPr>
        <w:br w:type="textWrapping"/>
      </w:r>
      <w:r>
        <w:rPr>
          <w:rFonts w:ascii="Arial" w:hAnsi="Arial" w:eastAsia="等线" w:cs="Arial"/>
          <w:sz w:val="22"/>
        </w:rPr>
        <w:t>中标人应按招标文件要求，在签订合同前缴纳履约保证金，保证期届满且无违约问题后无息退还。</w:t>
      </w:r>
    </w:p>
    <w:p w14:paraId="18F856A4">
      <w:pPr>
        <w:numPr>
          <w:ilvl w:val="0"/>
          <w:numId w:val="28"/>
        </w:numPr>
        <w:spacing w:before="120" w:after="120" w:line="288" w:lineRule="auto"/>
        <w:ind w:left="0"/>
        <w:jc w:val="left"/>
      </w:pPr>
      <w:r>
        <w:rPr>
          <w:rFonts w:ascii="Arial" w:hAnsi="Arial" w:eastAsia="等线" w:cs="Arial"/>
          <w:b/>
          <w:sz w:val="22"/>
        </w:rPr>
        <w:t>异议与投诉处理</w:t>
      </w:r>
      <w:r>
        <w:rPr>
          <w:rFonts w:ascii="Arial" w:hAnsi="Arial" w:eastAsia="等线" w:cs="Arial"/>
          <w:sz w:val="22"/>
        </w:rPr>
        <w:br w:type="textWrapping"/>
      </w:r>
      <w:r>
        <w:rPr>
          <w:rFonts w:ascii="Arial" w:hAnsi="Arial" w:eastAsia="等线" w:cs="Arial"/>
          <w:sz w:val="22"/>
        </w:rPr>
        <w:t>各投标单位如对本次中标结果有异议，须在公告期限内以书面形式（加盖单位公章）向采购单位提出，逾期不予受理。异议处理期间不影响中标结果执行。</w:t>
      </w:r>
    </w:p>
    <w:p w14:paraId="61E41352">
      <w:pPr>
        <w:spacing w:before="320" w:after="120" w:line="288" w:lineRule="auto"/>
        <w:ind w:left="0"/>
        <w:jc w:val="left"/>
        <w:outlineLvl w:val="1"/>
      </w:pPr>
      <w:bookmarkStart w:id="6" w:name="heading_6"/>
      <w:r>
        <w:rPr>
          <w:rFonts w:ascii="Arial" w:hAnsi="Arial" w:eastAsia="等线" w:cs="Arial"/>
          <w:b/>
          <w:sz w:val="32"/>
        </w:rPr>
        <w:t>七、联系方式</w:t>
      </w:r>
      <w:bookmarkEnd w:id="6"/>
    </w:p>
    <w:p w14:paraId="26EB397C">
      <w:pPr>
        <w:spacing w:before="300" w:after="120" w:line="288" w:lineRule="auto"/>
        <w:ind w:left="0"/>
        <w:jc w:val="left"/>
        <w:outlineLvl w:val="2"/>
      </w:pPr>
      <w:bookmarkStart w:id="7" w:name="heading_7"/>
      <w:r>
        <w:rPr>
          <w:rFonts w:ascii="Arial" w:hAnsi="Arial" w:eastAsia="等线" w:cs="Arial"/>
          <w:b/>
          <w:sz w:val="30"/>
        </w:rPr>
        <w:t>（一）招标人信息</w:t>
      </w:r>
      <w:bookmarkEnd w:id="7"/>
    </w:p>
    <w:p w14:paraId="28FD82CB">
      <w:pPr>
        <w:spacing w:before="120" w:after="120" w:line="288" w:lineRule="auto"/>
        <w:ind w:left="0"/>
        <w:jc w:val="left"/>
        <w:rPr>
          <w:rFonts w:hint="default" w:eastAsia="等线"/>
          <w:lang w:val="en-US" w:eastAsia="zh-CN"/>
        </w:rPr>
      </w:pPr>
      <w:r>
        <w:rPr>
          <w:rFonts w:ascii="Arial" w:hAnsi="Arial" w:eastAsia="等线" w:cs="Arial"/>
          <w:sz w:val="22"/>
        </w:rPr>
        <w:t>单位名称：中国南方电网有限责任公司</w:t>
      </w:r>
      <w:r>
        <w:rPr>
          <w:rFonts w:ascii="Arial" w:hAnsi="Arial" w:eastAsia="等线" w:cs="Arial"/>
          <w:sz w:val="22"/>
        </w:rPr>
        <w:br w:type="textWrapping"/>
      </w:r>
      <w:r>
        <w:rPr>
          <w:rFonts w:ascii="Arial" w:hAnsi="Arial" w:eastAsia="等线" w:cs="Arial"/>
          <w:sz w:val="22"/>
        </w:rPr>
        <w:t>单位地址：广东省广州市天河区珠江新城华穗路 6 号</w:t>
      </w:r>
      <w:r>
        <w:rPr>
          <w:rFonts w:ascii="Arial" w:hAnsi="Arial" w:eastAsia="等线" w:cs="Arial"/>
          <w:sz w:val="22"/>
        </w:rPr>
        <w:br w:type="textWrapping"/>
      </w:r>
      <w:r>
        <w:rPr>
          <w:rFonts w:ascii="Arial" w:hAnsi="Arial" w:eastAsia="等线" w:cs="Arial"/>
          <w:sz w:val="22"/>
        </w:rPr>
        <w:t>联系人：李先生</w:t>
      </w:r>
      <w:r>
        <w:rPr>
          <w:rFonts w:ascii="Arial" w:hAnsi="Arial" w:eastAsia="等线" w:cs="Arial"/>
          <w:sz w:val="22"/>
        </w:rPr>
        <w:br w:type="textWrapping"/>
      </w:r>
      <w:r>
        <w:rPr>
          <w:rFonts w:ascii="Arial" w:hAnsi="Arial" w:eastAsia="等线" w:cs="Arial"/>
          <w:sz w:val="22"/>
        </w:rPr>
        <w:t>联系电话：020-3812</w:t>
      </w:r>
      <w:r>
        <w:rPr>
          <w:rFonts w:hint="eastAsia" w:ascii="Arial" w:hAnsi="Arial" w:eastAsia="等线" w:cs="Arial"/>
          <w:sz w:val="22"/>
          <w:lang w:val="en-US" w:eastAsia="zh-CN"/>
        </w:rPr>
        <w:t>****</w:t>
      </w:r>
    </w:p>
    <w:p w14:paraId="10576FBF">
      <w:pPr>
        <w:spacing w:before="300" w:after="120" w:line="288" w:lineRule="auto"/>
        <w:ind w:left="0"/>
        <w:jc w:val="left"/>
        <w:outlineLvl w:val="2"/>
      </w:pPr>
      <w:bookmarkStart w:id="8" w:name="heading_8"/>
      <w:r>
        <w:rPr>
          <w:rFonts w:ascii="Arial" w:hAnsi="Arial" w:eastAsia="等线" w:cs="Arial"/>
          <w:b/>
          <w:sz w:val="30"/>
        </w:rPr>
        <w:t>（二）监督部门</w:t>
      </w:r>
      <w:bookmarkEnd w:id="8"/>
    </w:p>
    <w:p w14:paraId="01E0F5A9">
      <w:pPr>
        <w:spacing w:before="120" w:after="120" w:line="288" w:lineRule="auto"/>
        <w:ind w:left="0"/>
        <w:jc w:val="left"/>
        <w:rPr>
          <w:rFonts w:hint="default" w:eastAsia="等线"/>
          <w:lang w:val="en-US" w:eastAsia="zh-CN"/>
        </w:rPr>
      </w:pPr>
      <w:r>
        <w:rPr>
          <w:rFonts w:ascii="Arial" w:hAnsi="Arial" w:eastAsia="等线" w:cs="Arial"/>
          <w:sz w:val="22"/>
        </w:rPr>
        <w:t>监督单位：中国南方电网有限责任公司纪检监察组</w:t>
      </w:r>
      <w:r>
        <w:rPr>
          <w:rFonts w:ascii="Arial" w:hAnsi="Arial" w:eastAsia="等线" w:cs="Arial"/>
          <w:sz w:val="22"/>
        </w:rPr>
        <w:br w:type="textWrapping"/>
      </w:r>
      <w:r>
        <w:rPr>
          <w:rFonts w:ascii="Arial" w:hAnsi="Arial" w:eastAsia="等线" w:cs="Arial"/>
          <w:sz w:val="22"/>
        </w:rPr>
        <w:t>监督电话：020-3812</w:t>
      </w:r>
      <w:r>
        <w:rPr>
          <w:rFonts w:hint="eastAsia" w:ascii="Arial" w:hAnsi="Arial" w:eastAsia="等线" w:cs="Arial"/>
          <w:sz w:val="22"/>
          <w:lang w:val="en-US" w:eastAsia="zh-CN"/>
        </w:rPr>
        <w:t>****</w:t>
      </w:r>
    </w:p>
    <w:p w14:paraId="411C3337">
      <w:pPr>
        <w:spacing w:before="120" w:after="120" w:line="288" w:lineRule="auto"/>
        <w:ind w:left="0"/>
        <w:jc w:val="left"/>
      </w:pPr>
      <w:r>
        <w:rPr>
          <w:rFonts w:ascii="Arial" w:hAnsi="Arial" w:eastAsia="等线" w:cs="Arial"/>
          <w:sz w:val="22"/>
        </w:rPr>
        <w:t>中国南方电网有限责任公司</w:t>
      </w:r>
      <w:r>
        <w:rPr>
          <w:rFonts w:ascii="Arial" w:hAnsi="Arial" w:eastAsia="等线" w:cs="Arial"/>
          <w:sz w:val="22"/>
        </w:rPr>
        <w:br w:type="textWrapping"/>
      </w:r>
      <w:r>
        <w:rPr>
          <w:rFonts w:ascii="Arial" w:hAnsi="Arial" w:eastAsia="等线" w:cs="Arial"/>
          <w:sz w:val="22"/>
        </w:rPr>
        <w:t>2025 年 6 月 30 日</w:t>
      </w:r>
    </w:p>
    <w:p w14:paraId="15178AF5">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9BD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34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0"/>
      <w:numFmt w:val="decimal"/>
      <w:lvlText w:val="%1."/>
      <w:lvlJc w:val="left"/>
      <w:rPr>
        <w:color w:val="3370FF"/>
      </w:rPr>
    </w:lvl>
  </w:abstractNum>
  <w:abstractNum w:abstractNumId="1">
    <w:nsid w:val="9C8AC8EF"/>
    <w:multiLevelType w:val="singleLevel"/>
    <w:tmpl w:val="9C8AC8EF"/>
    <w:lvl w:ilvl="0" w:tentative="0">
      <w:start w:val="1"/>
      <w:numFmt w:val="decimal"/>
      <w:lvlText w:val="%1."/>
      <w:lvlJc w:val="left"/>
      <w:rPr>
        <w:color w:val="3370FF"/>
      </w:rPr>
    </w:lvl>
  </w:abstractNum>
  <w:abstractNum w:abstractNumId="2">
    <w:nsid w:val="B0F1ACD9"/>
    <w:multiLevelType w:val="singleLevel"/>
    <w:tmpl w:val="B0F1ACD9"/>
    <w:lvl w:ilvl="0" w:tentative="0">
      <w:start w:val="0"/>
      <w:numFmt w:val="bullet"/>
      <w:lvlText w:val="•"/>
      <w:lvlJc w:val="left"/>
      <w:rPr>
        <w:color w:val="3370FF"/>
      </w:rPr>
    </w:lvl>
  </w:abstractNum>
  <w:abstractNum w:abstractNumId="3">
    <w:nsid w:val="B5E306ED"/>
    <w:multiLevelType w:val="singleLevel"/>
    <w:tmpl w:val="B5E306ED"/>
    <w:lvl w:ilvl="0" w:tentative="0">
      <w:start w:val="5"/>
      <w:numFmt w:val="decimal"/>
      <w:lvlText w:val="%1."/>
      <w:lvlJc w:val="left"/>
      <w:rPr>
        <w:color w:val="3370FF"/>
      </w:rPr>
    </w:lvl>
  </w:abstractNum>
  <w:abstractNum w:abstractNumId="4">
    <w:nsid w:val="BE923771"/>
    <w:multiLevelType w:val="singleLevel"/>
    <w:tmpl w:val="BE923771"/>
    <w:lvl w:ilvl="0" w:tentative="0">
      <w:start w:val="4"/>
      <w:numFmt w:val="decimal"/>
      <w:lvlText w:val="%1."/>
      <w:lvlJc w:val="left"/>
      <w:rPr>
        <w:color w:val="3370FF"/>
      </w:rPr>
    </w:lvl>
  </w:abstractNum>
  <w:abstractNum w:abstractNumId="5">
    <w:nsid w:val="BF205925"/>
    <w:multiLevelType w:val="singleLevel"/>
    <w:tmpl w:val="BF205925"/>
    <w:lvl w:ilvl="0" w:tentative="0">
      <w:start w:val="4"/>
      <w:numFmt w:val="decimal"/>
      <w:lvlText w:val="%1."/>
      <w:lvlJc w:val="left"/>
      <w:rPr>
        <w:color w:val="3370FF"/>
      </w:rPr>
    </w:lvl>
  </w:abstractNum>
  <w:abstractNum w:abstractNumId="6">
    <w:nsid w:val="C8879AEF"/>
    <w:multiLevelType w:val="singleLevel"/>
    <w:tmpl w:val="C8879AEF"/>
    <w:lvl w:ilvl="0" w:tentative="0">
      <w:start w:val="3"/>
      <w:numFmt w:val="decimal"/>
      <w:lvlText w:val="%1."/>
      <w:lvlJc w:val="left"/>
      <w:rPr>
        <w:color w:val="3370FF"/>
      </w:rPr>
    </w:lvl>
  </w:abstractNum>
  <w:abstractNum w:abstractNumId="7">
    <w:nsid w:val="CF092B84"/>
    <w:multiLevelType w:val="singleLevel"/>
    <w:tmpl w:val="CF092B84"/>
    <w:lvl w:ilvl="0" w:tentative="0">
      <w:start w:val="2"/>
      <w:numFmt w:val="decimal"/>
      <w:lvlText w:val="%1."/>
      <w:lvlJc w:val="left"/>
      <w:rPr>
        <w:color w:val="3370FF"/>
      </w:rPr>
    </w:lvl>
  </w:abstractNum>
  <w:abstractNum w:abstractNumId="8">
    <w:nsid w:val="D7F9FE59"/>
    <w:multiLevelType w:val="singleLevel"/>
    <w:tmpl w:val="D7F9FE59"/>
    <w:lvl w:ilvl="0" w:tentative="0">
      <w:start w:val="4"/>
      <w:numFmt w:val="decimal"/>
      <w:lvlText w:val="%1."/>
      <w:lvlJc w:val="left"/>
      <w:rPr>
        <w:color w:val="3370FF"/>
      </w:rPr>
    </w:lvl>
  </w:abstractNum>
  <w:abstractNum w:abstractNumId="9">
    <w:nsid w:val="DCBA6B53"/>
    <w:multiLevelType w:val="singleLevel"/>
    <w:tmpl w:val="DCBA6B53"/>
    <w:lvl w:ilvl="0" w:tentative="0">
      <w:start w:val="3"/>
      <w:numFmt w:val="decimal"/>
      <w:lvlText w:val="%1."/>
      <w:lvlJc w:val="left"/>
      <w:rPr>
        <w:color w:val="3370FF"/>
      </w:rPr>
    </w:lvl>
  </w:abstractNum>
  <w:abstractNum w:abstractNumId="10">
    <w:nsid w:val="F4B5D9F5"/>
    <w:multiLevelType w:val="singleLevel"/>
    <w:tmpl w:val="F4B5D9F5"/>
    <w:lvl w:ilvl="0" w:tentative="0">
      <w:start w:val="1"/>
      <w:numFmt w:val="decimal"/>
      <w:lvlText w:val="%1."/>
      <w:lvlJc w:val="left"/>
      <w:rPr>
        <w:color w:val="3370FF"/>
      </w:rPr>
    </w:lvl>
  </w:abstractNum>
  <w:abstractNum w:abstractNumId="11">
    <w:nsid w:val="0053208E"/>
    <w:multiLevelType w:val="singleLevel"/>
    <w:tmpl w:val="0053208E"/>
    <w:lvl w:ilvl="0" w:tentative="0">
      <w:start w:val="1"/>
      <w:numFmt w:val="decimal"/>
      <w:lvlText w:val="%1."/>
      <w:lvlJc w:val="left"/>
      <w:rPr>
        <w:color w:val="3370FF"/>
      </w:rPr>
    </w:lvl>
  </w:abstractNum>
  <w:abstractNum w:abstractNumId="12">
    <w:nsid w:val="0248C179"/>
    <w:multiLevelType w:val="singleLevel"/>
    <w:tmpl w:val="0248C179"/>
    <w:lvl w:ilvl="0" w:tentative="0">
      <w:start w:val="9"/>
      <w:numFmt w:val="decimal"/>
      <w:lvlText w:val="%1."/>
      <w:lvlJc w:val="left"/>
      <w:rPr>
        <w:color w:val="3370FF"/>
      </w:rPr>
    </w:lvl>
  </w:abstractNum>
  <w:abstractNum w:abstractNumId="13">
    <w:nsid w:val="03D62ECE"/>
    <w:multiLevelType w:val="singleLevel"/>
    <w:tmpl w:val="03D62ECE"/>
    <w:lvl w:ilvl="0" w:tentative="0">
      <w:start w:val="6"/>
      <w:numFmt w:val="decimal"/>
      <w:lvlText w:val="%1."/>
      <w:lvlJc w:val="left"/>
      <w:rPr>
        <w:color w:val="3370FF"/>
      </w:rPr>
    </w:lvl>
  </w:abstractNum>
  <w:abstractNum w:abstractNumId="14">
    <w:nsid w:val="0E640482"/>
    <w:multiLevelType w:val="singleLevel"/>
    <w:tmpl w:val="0E640482"/>
    <w:lvl w:ilvl="0" w:tentative="0">
      <w:start w:val="0"/>
      <w:numFmt w:val="bullet"/>
      <w:lvlText w:val="•"/>
      <w:lvlJc w:val="left"/>
      <w:rPr>
        <w:color w:val="3370FF"/>
      </w:rPr>
    </w:lvl>
  </w:abstractNum>
  <w:abstractNum w:abstractNumId="15">
    <w:nsid w:val="2470EC97"/>
    <w:multiLevelType w:val="singleLevel"/>
    <w:tmpl w:val="2470EC97"/>
    <w:lvl w:ilvl="0" w:tentative="0">
      <w:start w:val="2"/>
      <w:numFmt w:val="decimal"/>
      <w:lvlText w:val="%1."/>
      <w:lvlJc w:val="left"/>
      <w:rPr>
        <w:color w:val="3370FF"/>
      </w:rPr>
    </w:lvl>
  </w:abstractNum>
  <w:abstractNum w:abstractNumId="16">
    <w:nsid w:val="25B654F3"/>
    <w:multiLevelType w:val="singleLevel"/>
    <w:tmpl w:val="25B654F3"/>
    <w:lvl w:ilvl="0" w:tentative="0">
      <w:start w:val="7"/>
      <w:numFmt w:val="decimal"/>
      <w:lvlText w:val="%1."/>
      <w:lvlJc w:val="left"/>
      <w:rPr>
        <w:color w:val="3370FF"/>
      </w:rPr>
    </w:lvl>
  </w:abstractNum>
  <w:abstractNum w:abstractNumId="17">
    <w:nsid w:val="2A8F537B"/>
    <w:multiLevelType w:val="singleLevel"/>
    <w:tmpl w:val="2A8F537B"/>
    <w:lvl w:ilvl="0" w:tentative="0">
      <w:start w:val="1"/>
      <w:numFmt w:val="decimal"/>
      <w:lvlText w:val="%1."/>
      <w:lvlJc w:val="left"/>
      <w:rPr>
        <w:color w:val="3370FF"/>
      </w:rPr>
    </w:lvl>
  </w:abstractNum>
  <w:abstractNum w:abstractNumId="18">
    <w:nsid w:val="46A08BB8"/>
    <w:multiLevelType w:val="singleLevel"/>
    <w:tmpl w:val="46A08BB8"/>
    <w:lvl w:ilvl="0" w:tentative="0">
      <w:start w:val="0"/>
      <w:numFmt w:val="bullet"/>
      <w:lvlText w:val="•"/>
      <w:lvlJc w:val="left"/>
      <w:rPr>
        <w:color w:val="3370FF"/>
      </w:rPr>
    </w:lvl>
  </w:abstractNum>
  <w:abstractNum w:abstractNumId="19">
    <w:nsid w:val="4C1BAE26"/>
    <w:multiLevelType w:val="singleLevel"/>
    <w:tmpl w:val="4C1BAE26"/>
    <w:lvl w:ilvl="0" w:tentative="0">
      <w:start w:val="2"/>
      <w:numFmt w:val="decimal"/>
      <w:lvlText w:val="%1."/>
      <w:lvlJc w:val="left"/>
      <w:rPr>
        <w:color w:val="3370FF"/>
      </w:rPr>
    </w:lvl>
  </w:abstractNum>
  <w:abstractNum w:abstractNumId="20">
    <w:nsid w:val="4D4DC07F"/>
    <w:multiLevelType w:val="singleLevel"/>
    <w:tmpl w:val="4D4DC07F"/>
    <w:lvl w:ilvl="0" w:tentative="0">
      <w:start w:val="4"/>
      <w:numFmt w:val="decimal"/>
      <w:lvlText w:val="%1."/>
      <w:lvlJc w:val="left"/>
      <w:rPr>
        <w:color w:val="3370FF"/>
      </w:rPr>
    </w:lvl>
  </w:abstractNum>
  <w:abstractNum w:abstractNumId="21">
    <w:nsid w:val="59ADCABA"/>
    <w:multiLevelType w:val="singleLevel"/>
    <w:tmpl w:val="59ADCABA"/>
    <w:lvl w:ilvl="0" w:tentative="0">
      <w:start w:val="3"/>
      <w:numFmt w:val="decimal"/>
      <w:lvlText w:val="%1."/>
      <w:lvlJc w:val="left"/>
      <w:rPr>
        <w:color w:val="3370FF"/>
      </w:rPr>
    </w:lvl>
  </w:abstractNum>
  <w:abstractNum w:abstractNumId="22">
    <w:nsid w:val="5A241D34"/>
    <w:multiLevelType w:val="singleLevel"/>
    <w:tmpl w:val="5A241D34"/>
    <w:lvl w:ilvl="0" w:tentative="0">
      <w:start w:val="2"/>
      <w:numFmt w:val="decimal"/>
      <w:lvlText w:val="%1."/>
      <w:lvlJc w:val="left"/>
      <w:rPr>
        <w:color w:val="3370FF"/>
      </w:rPr>
    </w:lvl>
  </w:abstractNum>
  <w:abstractNum w:abstractNumId="23">
    <w:nsid w:val="60382F6E"/>
    <w:multiLevelType w:val="singleLevel"/>
    <w:tmpl w:val="60382F6E"/>
    <w:lvl w:ilvl="0" w:tentative="0">
      <w:start w:val="3"/>
      <w:numFmt w:val="decimal"/>
      <w:lvlText w:val="%1."/>
      <w:lvlJc w:val="left"/>
      <w:rPr>
        <w:color w:val="3370FF"/>
      </w:rPr>
    </w:lvl>
  </w:abstractNum>
  <w:abstractNum w:abstractNumId="24">
    <w:nsid w:val="629F7852"/>
    <w:multiLevelType w:val="singleLevel"/>
    <w:tmpl w:val="629F7852"/>
    <w:lvl w:ilvl="0" w:tentative="0">
      <w:start w:val="5"/>
      <w:numFmt w:val="decimal"/>
      <w:lvlText w:val="%1."/>
      <w:lvlJc w:val="left"/>
      <w:rPr>
        <w:color w:val="3370FF"/>
      </w:rPr>
    </w:lvl>
  </w:abstractNum>
  <w:abstractNum w:abstractNumId="25">
    <w:nsid w:val="72183CF9"/>
    <w:multiLevelType w:val="singleLevel"/>
    <w:tmpl w:val="72183CF9"/>
    <w:lvl w:ilvl="0" w:tentative="0">
      <w:start w:val="8"/>
      <w:numFmt w:val="decimal"/>
      <w:lvlText w:val="%1."/>
      <w:lvlJc w:val="left"/>
      <w:rPr>
        <w:color w:val="3370FF"/>
      </w:rPr>
    </w:lvl>
  </w:abstractNum>
  <w:abstractNum w:abstractNumId="26">
    <w:nsid w:val="77ECEA79"/>
    <w:multiLevelType w:val="singleLevel"/>
    <w:tmpl w:val="77ECEA79"/>
    <w:lvl w:ilvl="0" w:tentative="0">
      <w:start w:val="0"/>
      <w:numFmt w:val="bullet"/>
      <w:lvlText w:val="•"/>
      <w:lvlJc w:val="left"/>
      <w:rPr>
        <w:color w:val="3370FF"/>
      </w:rPr>
    </w:lvl>
  </w:abstractNum>
  <w:abstractNum w:abstractNumId="27">
    <w:nsid w:val="7C246926"/>
    <w:multiLevelType w:val="singleLevel"/>
    <w:tmpl w:val="7C246926"/>
    <w:lvl w:ilvl="0" w:tentative="0">
      <w:start w:val="0"/>
      <w:numFmt w:val="bullet"/>
      <w:lvlText w:val="•"/>
      <w:lvlJc w:val="left"/>
      <w:rPr>
        <w:color w:val="3370FF"/>
      </w:rPr>
    </w:lvl>
  </w:abstractNum>
  <w:num w:numId="1">
    <w:abstractNumId w:val="11"/>
  </w:num>
  <w:num w:numId="2">
    <w:abstractNumId w:val="7"/>
  </w:num>
  <w:num w:numId="3">
    <w:abstractNumId w:val="21"/>
  </w:num>
  <w:num w:numId="4">
    <w:abstractNumId w:val="5"/>
  </w:num>
  <w:num w:numId="5">
    <w:abstractNumId w:val="3"/>
  </w:num>
  <w:num w:numId="6">
    <w:abstractNumId w:val="13"/>
  </w:num>
  <w:num w:numId="7">
    <w:abstractNumId w:val="16"/>
  </w:num>
  <w:num w:numId="8">
    <w:abstractNumId w:val="25"/>
  </w:num>
  <w:num w:numId="9">
    <w:abstractNumId w:val="12"/>
  </w:num>
  <w:num w:numId="10">
    <w:abstractNumId w:val="0"/>
  </w:num>
  <w:num w:numId="11">
    <w:abstractNumId w:val="17"/>
  </w:num>
  <w:num w:numId="12">
    <w:abstractNumId w:val="22"/>
  </w:num>
  <w:num w:numId="13">
    <w:abstractNumId w:val="6"/>
  </w:num>
  <w:num w:numId="14">
    <w:abstractNumId w:val="20"/>
  </w:num>
  <w:num w:numId="15">
    <w:abstractNumId w:val="10"/>
  </w:num>
  <w:num w:numId="16">
    <w:abstractNumId w:val="15"/>
  </w:num>
  <w:num w:numId="17">
    <w:abstractNumId w:val="9"/>
  </w:num>
  <w:num w:numId="18">
    <w:abstractNumId w:val="8"/>
  </w:num>
  <w:num w:numId="19">
    <w:abstractNumId w:val="1"/>
  </w:num>
  <w:num w:numId="20">
    <w:abstractNumId w:val="19"/>
  </w:num>
  <w:num w:numId="21">
    <w:abstractNumId w:val="23"/>
  </w:num>
  <w:num w:numId="22">
    <w:abstractNumId w:val="14"/>
  </w:num>
  <w:num w:numId="23">
    <w:abstractNumId w:val="18"/>
  </w:num>
  <w:num w:numId="24">
    <w:abstractNumId w:val="2"/>
  </w:num>
  <w:num w:numId="25">
    <w:abstractNumId w:val="27"/>
  </w:num>
  <w:num w:numId="26">
    <w:abstractNumId w:val="26"/>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E00AB"/>
    <w:rsid w:val="2A2740BA"/>
    <w:rsid w:val="4A523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1590</Words>
  <Characters>1740</Characters>
  <TotalTime>1</TotalTime>
  <ScaleCrop>false</ScaleCrop>
  <LinksUpToDate>false</LinksUpToDate>
  <CharactersWithSpaces>1810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2026-06-06T06:11:00Z</dcterms:created>
  <dc:creator>Apache POI</dc:creator>
  <cp:lastModifiedBy>李书成</cp:lastModifiedBy>
  <dcterms:modified xsi:type="dcterms:W3CDTF">2026-06-08T08:09:01Z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{"Label":"1","ContentProducer":"001191110102MACQD9K64010000","ProduceID":"7648161059735817444","ReservedCode1":"","ContentPropagator":"","PropagateID":"","ReservedCode2":""}</vt:lpwstr>
  </property>
  <property fmtid="{D5CDD505-2E9C-101B-9397-08002B2CF9AE}" pid="3" name="KSOTemplateDocerSaveRecord">
    <vt:lpwstr>eyJoZGlkIjoiNzljYTkxM2Y3YjQwM2U1YzI2M2Q2ZmNkMTY4ZTM0MzQiLCJ1c2VySWQiOiIyMTEwNjgzMTAifQ==</vt:lpwstr>
  </property>
  <property fmtid="{D5CDD505-2E9C-101B-9397-08002B2CF9AE}" pid="4" name="KSOProductBuildVer">
    <vt:lpwstr>2052-12.1.0.26375</vt:lpwstr>
  </property>
  <property fmtid="{D5CDD505-2E9C-101B-9397-08002B2CF9AE}" pid="5" name="ICV">
    <vt:lpwstr>5D9E6AA34E2F434A8BBBBCB2644518DE_13</vt:lpwstr>
  </property>
</Properties>
</file>